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_rels/endnotes.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2.png" ContentType="image/png"/>
  <Override PartName="/word/media/image1.png" ContentType="image/png"/>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re1"/>
        <w:numPr>
          <w:ilvl w:val="0"/>
          <w:numId w:val="1"/>
        </w:numPr>
        <w:spacing w:before="240" w:after="120"/>
        <w:rPr/>
      </w:pPr>
      <w:r>
        <w:rPr/>
        <w:t xml:space="preserve">Un oscillo </w:t>
      </w:r>
      <w:r>
        <w:rPr/>
        <w:t>quatre voies</w:t>
      </w:r>
      <w:r>
        <w:rPr/>
        <w:t>, pour une poignée de roupies</w:t>
      </w:r>
    </w:p>
    <w:p>
      <w:pPr>
        <w:pStyle w:val="Corpsdetexte"/>
        <w:jc w:val="right"/>
        <w:rPr/>
      </w:pPr>
      <w:r>
        <w:rPr>
          <w:i/>
          <w:iCs/>
        </w:rPr>
        <w:t>par Georges Khaznadar &lt;</w:t>
      </w:r>
      <w:hyperlink r:id="rId2">
        <w:r>
          <w:rPr>
            <w:rStyle w:val="LienInternet"/>
            <w:i/>
            <w:iCs/>
          </w:rPr>
          <w:t>georges.khaznadar@ac-lille.fr</w:t>
        </w:r>
      </w:hyperlink>
      <w:r>
        <w:rPr>
          <w:i/>
          <w:iCs/>
        </w:rPr>
        <w:t>&gt;</w:t>
      </w:r>
    </w:p>
    <w:p>
      <w:pPr>
        <w:pStyle w:val="Corpsdetexte"/>
        <w:rPr/>
      </w:pPr>
      <w:r>
        <w:drawing>
          <wp:anchor behindDoc="0" distT="0" distB="0" distL="0" distR="107950" simplePos="0" locked="0" layoutInCell="1" allowOverlap="1" relativeHeight="2">
            <wp:simplePos x="0" y="0"/>
            <wp:positionH relativeFrom="column">
              <wp:posOffset>52705</wp:posOffset>
            </wp:positionH>
            <wp:positionV relativeFrom="paragraph">
              <wp:posOffset>31750</wp:posOffset>
            </wp:positionV>
            <wp:extent cx="1587500" cy="149161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3"/>
                    <a:stretch>
                      <a:fillRect/>
                    </a:stretch>
                  </pic:blipFill>
                  <pic:spPr bwMode="auto">
                    <a:xfrm>
                      <a:off x="0" y="0"/>
                      <a:ext cx="1587500" cy="1491615"/>
                    </a:xfrm>
                    <a:prstGeom prst="rect">
                      <a:avLst/>
                    </a:prstGeom>
                  </pic:spPr>
                </pic:pic>
              </a:graphicData>
            </a:graphic>
          </wp:anchor>
        </w:drawing>
      </w:r>
      <w:r>
        <w:rPr/>
        <w:t>Depuis maintenant une quinzaine d’années, Ajith Kumar, ingénieur de recherche à l’</w:t>
      </w:r>
      <w:r>
        <w:rPr/>
        <w:t>Inter-University Accelerator Centre</w:t>
      </w:r>
      <w:r>
        <w:rPr>
          <w:rStyle w:val="Ancredenotedefin"/>
        </w:rPr>
        <w:endnoteReference w:id="2"/>
      </w:r>
      <w:r>
        <w:rPr/>
        <w:t xml:space="preserve">, </w:t>
      </w:r>
      <w:r>
        <w:rPr/>
        <w:t xml:space="preserve">à </w:t>
      </w:r>
      <w:r>
        <w:rPr/>
        <w:t xml:space="preserve">New Delhi, </w:t>
      </w:r>
      <w:r>
        <w:rPr/>
        <w:t xml:space="preserve">développe des matériels pour l’enseignement des sciences, dans l’esprit de la </w:t>
      </w:r>
      <w:r>
        <w:rPr>
          <w:i/>
          <w:iCs/>
        </w:rPr>
        <w:t>technologie frugale</w:t>
      </w:r>
      <w:r>
        <w:rPr/>
        <w:t>.</w:t>
      </w:r>
    </w:p>
    <w:p>
      <w:pPr>
        <w:pStyle w:val="Corpsdetexte"/>
        <w:rPr>
          <w:sz w:val="24"/>
          <w:szCs w:val="24"/>
        </w:rPr>
      </w:pPr>
      <w:r>
        <w:rPr>
          <w:sz w:val="24"/>
          <w:szCs w:val="24"/>
        </w:rPr>
        <w:t xml:space="preserve">Le projet </w:t>
      </w:r>
      <w:r>
        <w:rPr>
          <w:b/>
          <w:bCs/>
          <w:color w:val="6600CC"/>
          <w:sz w:val="24"/>
          <w:szCs w:val="24"/>
        </w:rPr>
        <w:t>P</w:t>
      </w:r>
      <w:r>
        <w:rPr>
          <w:color w:val="000000"/>
          <w:sz w:val="24"/>
          <w:szCs w:val="24"/>
        </w:rPr>
        <w:t>hy</w:t>
      </w:r>
      <w:r>
        <w:rPr>
          <w:color w:val="000000"/>
          <w:sz w:val="24"/>
          <w:szCs w:val="24"/>
        </w:rPr>
        <w:t>si</w:t>
      </w:r>
      <w:r>
        <w:rPr>
          <w:color w:val="000000"/>
          <w:sz w:val="24"/>
          <w:szCs w:val="24"/>
        </w:rPr>
        <w:t xml:space="preserve">cs with </w:t>
      </w:r>
      <w:r>
        <w:rPr>
          <w:b/>
          <w:bCs/>
          <w:color w:val="6600CC"/>
          <w:sz w:val="24"/>
          <w:szCs w:val="24"/>
        </w:rPr>
        <w:t>Ho</w:t>
      </w:r>
      <w:r>
        <w:rPr>
          <w:color w:val="000000"/>
          <w:sz w:val="24"/>
          <w:szCs w:val="24"/>
        </w:rPr>
        <w:t xml:space="preserve">me-made </w:t>
      </w:r>
      <w:r>
        <w:rPr>
          <w:b/>
          <w:bCs/>
          <w:color w:val="6600CC"/>
          <w:sz w:val="24"/>
          <w:szCs w:val="24"/>
        </w:rPr>
        <w:t>E</w:t>
      </w:r>
      <w:r>
        <w:rPr>
          <w:color w:val="000000"/>
          <w:sz w:val="24"/>
          <w:szCs w:val="24"/>
        </w:rPr>
        <w:t>quipme</w:t>
      </w:r>
      <w:r>
        <w:rPr>
          <w:color w:val="6600CC"/>
          <w:sz w:val="24"/>
          <w:szCs w:val="24"/>
        </w:rPr>
        <w:t>n</w:t>
      </w:r>
      <w:r>
        <w:rPr>
          <w:color w:val="000000"/>
          <w:sz w:val="24"/>
          <w:szCs w:val="24"/>
        </w:rPr>
        <w:t xml:space="preserve">t </w:t>
      </w:r>
      <w:r>
        <w:rPr>
          <w:b/>
          <w:bCs/>
          <w:color w:val="000000"/>
          <w:sz w:val="24"/>
          <w:szCs w:val="24"/>
        </w:rPr>
        <w:t xml:space="preserve">&amp; </w:t>
      </w:r>
      <w:r>
        <w:rPr>
          <w:b/>
          <w:bCs/>
          <w:color w:val="6600CC"/>
          <w:sz w:val="24"/>
          <w:szCs w:val="24"/>
        </w:rPr>
        <w:t>I</w:t>
      </w:r>
      <w:r>
        <w:rPr>
          <w:color w:val="000000"/>
          <w:sz w:val="24"/>
          <w:szCs w:val="24"/>
        </w:rPr>
        <w:t>nnovative E</w:t>
      </w:r>
      <w:r>
        <w:rPr>
          <w:b/>
          <w:bCs/>
          <w:color w:val="6600CC"/>
          <w:sz w:val="24"/>
          <w:szCs w:val="24"/>
        </w:rPr>
        <w:t>x</w:t>
      </w:r>
      <w:r>
        <w:rPr>
          <w:color w:val="000000"/>
          <w:sz w:val="24"/>
          <w:szCs w:val="24"/>
        </w:rPr>
        <w:t xml:space="preserve">periments, </w:t>
      </w:r>
      <w:r>
        <w:rPr>
          <w:color w:val="000000"/>
          <w:sz w:val="24"/>
          <w:szCs w:val="24"/>
        </w:rPr>
        <w:t xml:space="preserve">alias </w:t>
      </w:r>
      <w:r>
        <w:rPr>
          <w:b/>
          <w:bCs/>
          <w:color w:val="000000"/>
          <w:sz w:val="24"/>
          <w:szCs w:val="24"/>
        </w:rPr>
        <w:t>PHOENIX</w:t>
      </w:r>
      <w:r>
        <w:rPr>
          <w:rStyle w:val="Ancredenotedefin"/>
          <w:b/>
          <w:bCs/>
          <w:color w:val="000000"/>
          <w:sz w:val="24"/>
          <w:szCs w:val="24"/>
        </w:rPr>
        <w:endnoteReference w:id="3"/>
      </w:r>
      <w:r>
        <w:rPr>
          <w:color w:val="000000"/>
          <w:sz w:val="24"/>
          <w:szCs w:val="24"/>
        </w:rPr>
        <w:t>, est l’idée qu’en utilisant des « moyens du bords », on peut mettre à la portée des enseignants de sciences des lycées et des universités en Inde, de quoi organiser des travaux pratiques. Une des motivations d’Ajith Kumar, c’étai</w:t>
      </w:r>
      <w:r>
        <w:rPr>
          <w:color w:val="000000"/>
          <w:sz w:val="24"/>
          <w:szCs w:val="24"/>
        </w:rPr>
        <w:t>t de voir</w:t>
      </w:r>
      <w:r>
        <w:rPr>
          <w:color w:val="000000"/>
          <w:sz w:val="24"/>
          <w:szCs w:val="24"/>
        </w:rPr>
        <w:t xml:space="preserve"> les </w:t>
      </w:r>
      <w:r>
        <w:rPr>
          <w:color w:val="000000"/>
          <w:sz w:val="24"/>
          <w:szCs w:val="24"/>
        </w:rPr>
        <w:t xml:space="preserve">plus brillants </w:t>
      </w:r>
      <w:r>
        <w:rPr>
          <w:color w:val="000000"/>
          <w:sz w:val="24"/>
          <w:szCs w:val="24"/>
        </w:rPr>
        <w:t>élèves de troisième cycle universitaire, qu</w:t>
      </w:r>
      <w:r>
        <w:rPr>
          <w:color w:val="000000"/>
          <w:sz w:val="24"/>
          <w:szCs w:val="24"/>
        </w:rPr>
        <w:t>i entraient</w:t>
      </w:r>
      <w:r>
        <w:rPr>
          <w:color w:val="000000"/>
          <w:sz w:val="24"/>
          <w:szCs w:val="24"/>
        </w:rPr>
        <w:t xml:space="preserve"> pour une thèse </w:t>
      </w:r>
      <w:r>
        <w:rPr>
          <w:color w:val="000000"/>
          <w:sz w:val="24"/>
          <w:szCs w:val="24"/>
        </w:rPr>
        <w:t>dans son institut</w:t>
      </w:r>
      <w:r>
        <w:rPr>
          <w:color w:val="000000"/>
          <w:sz w:val="24"/>
          <w:szCs w:val="24"/>
        </w:rPr>
        <w:t xml:space="preserve">, et </w:t>
      </w:r>
      <w:r>
        <w:rPr>
          <w:color w:val="000000"/>
          <w:sz w:val="24"/>
          <w:szCs w:val="24"/>
        </w:rPr>
        <w:t>perdaient leur première année</w:t>
      </w:r>
      <w:r>
        <w:rPr>
          <w:color w:val="000000"/>
          <w:sz w:val="24"/>
          <w:szCs w:val="24"/>
        </w:rPr>
        <w:t xml:space="preserve"> </w:t>
      </w:r>
      <w:r>
        <w:rPr>
          <w:color w:val="000000"/>
          <w:sz w:val="24"/>
          <w:szCs w:val="24"/>
        </w:rPr>
        <w:t xml:space="preserve">à </w:t>
      </w:r>
      <w:r>
        <w:rPr>
          <w:color w:val="000000"/>
          <w:sz w:val="24"/>
          <w:szCs w:val="24"/>
        </w:rPr>
        <w:t xml:space="preserve">comprendre comment on </w:t>
      </w:r>
      <w:r>
        <w:rPr>
          <w:color w:val="000000"/>
          <w:sz w:val="24"/>
          <w:szCs w:val="24"/>
        </w:rPr>
        <w:t>monte une expérience simple de physique </w:t>
      </w:r>
      <w:r>
        <w:rPr>
          <w:color w:val="000000"/>
          <w:sz w:val="24"/>
          <w:szCs w:val="24"/>
        </w:rPr>
        <w:t xml:space="preserve">; </w:t>
      </w:r>
      <w:r>
        <w:rPr>
          <w:color w:val="000000"/>
          <w:sz w:val="24"/>
          <w:szCs w:val="24"/>
        </w:rPr>
        <w:t>il a été soutenu sans faille par son institut dans ce projet.</w:t>
      </w:r>
    </w:p>
    <w:p>
      <w:pPr>
        <w:pStyle w:val="Corpsdetexte"/>
        <w:rPr>
          <w:sz w:val="24"/>
          <w:szCs w:val="24"/>
        </w:rPr>
      </w:pPr>
      <w:r>
        <w:rPr>
          <w:color w:val="000000"/>
          <w:sz w:val="24"/>
          <w:szCs w:val="24"/>
        </w:rPr>
        <w:t>E</w:t>
      </w:r>
      <w:r>
        <w:rPr>
          <w:color w:val="000000"/>
          <w:sz w:val="24"/>
          <w:szCs w:val="24"/>
        </w:rPr>
        <w:t>n 200</w:t>
      </w:r>
      <w:r>
        <w:rPr>
          <w:color w:val="000000"/>
          <w:sz w:val="24"/>
          <w:szCs w:val="24"/>
        </w:rPr>
        <w:t>4</w:t>
      </w:r>
      <w:r>
        <w:rPr>
          <w:color w:val="000000"/>
          <w:sz w:val="24"/>
          <w:szCs w:val="24"/>
        </w:rPr>
        <w:t xml:space="preserve">, un premier gros boîtier avait été mis au point, qu’on connectait aux ordinateurs par la prise parallèle pour imprimantes. Avec ça, on échantillonnait des signaux audio, entre 0 et 5 V, et on disposait de quelques entrées-sorties numériques : </w:t>
      </w:r>
      <w:r>
        <w:rPr>
          <w:i/>
          <w:iCs/>
          <w:color w:val="000000"/>
          <w:sz w:val="24"/>
          <w:szCs w:val="24"/>
        </w:rPr>
        <w:t>grosso-modo</w:t>
      </w:r>
      <w:r>
        <w:rPr>
          <w:color w:val="000000"/>
          <w:sz w:val="24"/>
          <w:szCs w:val="24"/>
        </w:rPr>
        <w:t>, la même chose qu’un ARDUINO</w:t>
      </w:r>
      <w:r>
        <w:rPr>
          <w:rStyle w:val="Ancredenotedefin"/>
          <w:color w:val="000000"/>
          <w:sz w:val="24"/>
          <w:szCs w:val="24"/>
        </w:rPr>
        <w:endnoteReference w:id="4"/>
      </w:r>
      <w:r>
        <w:rPr>
          <w:color w:val="000000"/>
          <w:sz w:val="24"/>
          <w:szCs w:val="24"/>
        </w:rPr>
        <w:t xml:space="preserve">, qui naissait à la même époque. </w:t>
      </w:r>
      <w:r>
        <w:rPr>
          <w:i/>
          <w:iCs/>
          <w:color w:val="000000"/>
          <w:sz w:val="24"/>
          <w:szCs w:val="24"/>
        </w:rPr>
        <w:t>Les concepts on ensuite divergé.</w:t>
      </w:r>
    </w:p>
    <w:p>
      <w:pPr>
        <w:pStyle w:val="Titre2"/>
        <w:numPr>
          <w:ilvl w:val="1"/>
          <w:numId w:val="1"/>
        </w:numPr>
        <w:rPr/>
      </w:pPr>
      <w:r>
        <w:rPr/>
        <w:t>Expeyes, Arduino</w:t>
      </w:r>
    </w:p>
    <w:p>
      <w:pPr>
        <w:pStyle w:val="Corpsdetexte"/>
        <w:rPr/>
      </w:pPr>
      <w:r>
        <w:rPr/>
        <w:t>En 2018, les projets PHOENIX et ARDUINO ont mûri, ARDUINO a conquis le monde des bricoleurs, et des laboratoires où on trouve des gens curieux. La différence entre le dernier-né du projet PHOENIX, nommé Expeyes-17</w:t>
      </w:r>
      <w:r>
        <w:rPr>
          <w:rStyle w:val="Ancredenotedefin"/>
        </w:rPr>
        <w:endnoteReference w:id="5"/>
      </w:r>
      <w:r>
        <w:rPr/>
        <w:t>, et l’Arduino, peut être résumée dans un petit tableau :</w:t>
      </w:r>
    </w:p>
    <w:tbl>
      <w:tblPr>
        <w:tblW w:w="9638" w:type="dxa"/>
        <w:jc w:val="left"/>
        <w:tblInd w:w="0"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Pr>
      <w:tblGrid>
        <w:gridCol w:w="1475"/>
        <w:gridCol w:w="4081"/>
        <w:gridCol w:w="4082"/>
      </w:tblGrid>
      <w:tr>
        <w:trPr/>
        <w:tc>
          <w:tcPr>
            <w:tcW w:w="1475" w:type="dxa"/>
            <w:tcBorders>
              <w:top w:val="single" w:sz="2" w:space="0" w:color="000000"/>
              <w:left w:val="single" w:sz="2" w:space="0" w:color="000000"/>
              <w:bottom w:val="single" w:sz="2" w:space="0" w:color="000000"/>
              <w:insideH w:val="single" w:sz="2" w:space="0" w:color="000000"/>
            </w:tcBorders>
            <w:shd w:fill="auto" w:val="clear"/>
            <w:tcMar>
              <w:left w:w="54" w:type="dxa"/>
            </w:tcMar>
          </w:tcPr>
          <w:p>
            <w:pPr>
              <w:pStyle w:val="Contenudetableau"/>
              <w:rPr/>
            </w:pPr>
            <w:r>
              <w:rPr/>
            </w:r>
          </w:p>
        </w:tc>
        <w:tc>
          <w:tcPr>
            <w:tcW w:w="4081" w:type="dxa"/>
            <w:tcBorders>
              <w:top w:val="single" w:sz="2" w:space="0" w:color="000000"/>
              <w:left w:val="single" w:sz="2" w:space="0" w:color="000000"/>
              <w:bottom w:val="single" w:sz="2" w:space="0" w:color="000000"/>
              <w:insideH w:val="single" w:sz="2" w:space="0" w:color="000000"/>
            </w:tcBorders>
            <w:shd w:fill="auto" w:val="clear"/>
            <w:tcMar>
              <w:left w:w="54" w:type="dxa"/>
            </w:tcMar>
          </w:tcPr>
          <w:p>
            <w:pPr>
              <w:pStyle w:val="Contenudetableau"/>
              <w:jc w:val="center"/>
              <w:rPr>
                <w:b/>
                <w:b/>
                <w:bCs/>
              </w:rPr>
            </w:pPr>
            <w:r>
              <w:rPr>
                <w:b/>
                <w:bCs/>
              </w:rPr>
              <w:t>Expeyes-17</w:t>
            </w:r>
          </w:p>
        </w:tc>
        <w:tc>
          <w:tcPr>
            <w:tcW w:w="4082"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udetableau"/>
              <w:jc w:val="center"/>
              <w:rPr>
                <w:b/>
                <w:b/>
                <w:bCs/>
              </w:rPr>
            </w:pPr>
            <w:r>
              <w:rPr>
                <w:b/>
                <w:bCs/>
              </w:rPr>
              <w:t>Arduino</w:t>
            </w:r>
          </w:p>
        </w:tc>
      </w:tr>
      <w:tr>
        <w:trPr/>
        <w:tc>
          <w:tcPr>
            <w:tcW w:w="1475"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b/>
                <w:b/>
                <w:bCs/>
              </w:rPr>
            </w:pPr>
            <w:r>
              <w:rPr>
                <w:b/>
                <w:bCs/>
              </w:rPr>
              <w:t>processeur</w:t>
            </w:r>
          </w:p>
        </w:tc>
        <w:tc>
          <w:tcPr>
            <w:tcW w:w="4081" w:type="dxa"/>
            <w:tcBorders>
              <w:left w:val="single" w:sz="2" w:space="0" w:color="000000"/>
              <w:bottom w:val="single" w:sz="2" w:space="0" w:color="000000"/>
              <w:insideH w:val="single" w:sz="2" w:space="0" w:color="000000"/>
            </w:tcBorders>
            <w:shd w:fill="auto" w:val="clear"/>
            <w:tcMar>
              <w:left w:w="54" w:type="dxa"/>
            </w:tcMar>
          </w:tcPr>
          <w:p>
            <w:pPr>
              <w:pStyle w:val="Contenudetableau"/>
              <w:rPr/>
            </w:pPr>
            <w:r>
              <w:rPr/>
              <w:t>Rapide</w:t>
            </w:r>
          </w:p>
        </w:tc>
        <w:tc>
          <w:tcPr>
            <w:tcW w:w="4082"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udetableau"/>
              <w:rPr/>
            </w:pPr>
            <w:r>
              <w:rPr/>
              <w:t xml:space="preserve">Rapidités diverses </w:t>
            </w:r>
            <w:r>
              <w:rPr/>
              <w:t>selon le modèle</w:t>
            </w:r>
          </w:p>
        </w:tc>
      </w:tr>
      <w:tr>
        <w:trPr/>
        <w:tc>
          <w:tcPr>
            <w:tcW w:w="1475"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b/>
                <w:b/>
                <w:bCs/>
              </w:rPr>
            </w:pPr>
            <w:r>
              <w:rPr>
                <w:b/>
                <w:bCs/>
              </w:rPr>
              <w:t>Entrées analogiques</w:t>
            </w:r>
          </w:p>
        </w:tc>
        <w:tc>
          <w:tcPr>
            <w:tcW w:w="4081" w:type="dxa"/>
            <w:tcBorders>
              <w:left w:val="single" w:sz="2" w:space="0" w:color="000000"/>
              <w:bottom w:val="single" w:sz="2" w:space="0" w:color="000000"/>
              <w:insideH w:val="single" w:sz="2" w:space="0" w:color="000000"/>
            </w:tcBorders>
            <w:shd w:fill="auto" w:val="clear"/>
            <w:tcMar>
              <w:left w:w="54" w:type="dxa"/>
            </w:tcMar>
          </w:tcPr>
          <w:p>
            <w:pPr>
              <w:pStyle w:val="Contenudetableau"/>
              <w:rPr/>
            </w:pPr>
            <w:r>
              <w:rPr/>
              <w:t>Quatre, s</w:t>
            </w:r>
            <w:r>
              <w:rPr/>
              <w:t>ymétriques, multi-calibres, résolution 12 bits, 10</w:t>
            </w:r>
            <w:r>
              <w:rPr>
                <w:vertAlign w:val="superscript"/>
              </w:rPr>
              <w:t>6</w:t>
            </w:r>
            <w:r>
              <w:rPr/>
              <w:t xml:space="preserve"> éch./s</w:t>
            </w:r>
          </w:p>
        </w:tc>
        <w:tc>
          <w:tcPr>
            <w:tcW w:w="4082"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udetableau"/>
              <w:rPr/>
            </w:pPr>
            <w:r>
              <w:rPr/>
              <w:t>Cinq, 0-5V ou 0-3,3V, résolution 8 bits, 200</w:t>
            </w:r>
            <w:r>
              <w:rPr/>
              <w:t>×</w:t>
            </w:r>
            <w:r>
              <w:rPr/>
              <w:t>10</w:t>
            </w:r>
            <w:r>
              <w:rPr>
                <w:vertAlign w:val="superscript"/>
              </w:rPr>
              <w:t>3</w:t>
            </w:r>
            <w:r>
              <w:rPr/>
              <w:t xml:space="preserve"> éch./s</w:t>
            </w:r>
          </w:p>
        </w:tc>
      </w:tr>
      <w:tr>
        <w:trPr/>
        <w:tc>
          <w:tcPr>
            <w:tcW w:w="1475"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b/>
                <w:b/>
                <w:bCs/>
              </w:rPr>
            </w:pPr>
            <w:r>
              <w:rPr>
                <w:b/>
                <w:bCs/>
              </w:rPr>
              <w:t xml:space="preserve">Sorties </w:t>
            </w:r>
            <w:r>
              <w:rPr>
                <w:b/>
                <w:bCs/>
              </w:rPr>
              <w:t>analogiques</w:t>
            </w:r>
          </w:p>
        </w:tc>
        <w:tc>
          <w:tcPr>
            <w:tcW w:w="4081" w:type="dxa"/>
            <w:tcBorders>
              <w:left w:val="single" w:sz="2" w:space="0" w:color="000000"/>
              <w:bottom w:val="single" w:sz="2" w:space="0" w:color="000000"/>
              <w:insideH w:val="single" w:sz="2" w:space="0" w:color="000000"/>
            </w:tcBorders>
            <w:shd w:fill="auto" w:val="clear"/>
            <w:tcMar>
              <w:left w:w="54" w:type="dxa"/>
            </w:tcMar>
          </w:tcPr>
          <w:p>
            <w:pPr>
              <w:pStyle w:val="Contenudetableau"/>
              <w:rPr/>
            </w:pPr>
            <w:r>
              <w:rPr/>
              <w:t xml:space="preserve">Une dédiée : signaux sinus et triangle, </w:t>
            </w:r>
            <w:r>
              <w:rPr/>
              <w:t xml:space="preserve">de </w:t>
            </w:r>
            <w:r>
              <w:rPr/>
              <w:t>fréq</w:t>
            </w:r>
            <w:r>
              <w:rPr/>
              <w:t>uence</w:t>
            </w:r>
            <w:r>
              <w:rPr/>
              <w:t xml:space="preserve"> </w:t>
            </w:r>
            <w:r>
              <w:rPr/>
              <w:t>a</w:t>
            </w:r>
            <w:r>
              <w:rPr/>
              <w:t>just</w:t>
            </w:r>
            <w:r>
              <w:rPr/>
              <w:t>able</w:t>
            </w:r>
            <w:r>
              <w:rPr/>
              <w:t xml:space="preserve"> ; </w:t>
            </w:r>
            <w:r>
              <w:rPr/>
              <w:t>et deux</w:t>
            </w:r>
            <w:r>
              <w:rPr/>
              <w:t xml:space="preserve"> sortie</w:t>
            </w:r>
            <w:r>
              <w:rPr/>
              <w:t>s</w:t>
            </w:r>
            <w:r>
              <w:rPr/>
              <w:t xml:space="preserve"> programmable</w:t>
            </w:r>
            <w:r>
              <w:rPr/>
              <w:t>s</w:t>
            </w:r>
            <w:r>
              <w:rPr/>
              <w:t xml:space="preserve"> </w:t>
            </w:r>
            <w:r>
              <w:rPr/>
              <w:t xml:space="preserve">par </w:t>
            </w:r>
            <w:r>
              <w:rPr/>
              <w:t>table d’onde</w:t>
            </w:r>
          </w:p>
        </w:tc>
        <w:tc>
          <w:tcPr>
            <w:tcW w:w="4082"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udetableau"/>
              <w:rPr/>
            </w:pPr>
            <w:r>
              <w:rPr/>
              <w:t>Une ou plusieurs, utilisables en modulation de largeur d’impulsion (PWM) ; prévoir des composants externes pour le lissage</w:t>
            </w:r>
          </w:p>
        </w:tc>
      </w:tr>
      <w:tr>
        <w:trPr/>
        <w:tc>
          <w:tcPr>
            <w:tcW w:w="1475"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b/>
                <w:b/>
                <w:bCs/>
              </w:rPr>
            </w:pPr>
            <w:r>
              <w:rPr>
                <w:b/>
                <w:bCs/>
              </w:rPr>
              <w:t>Entrées numériques</w:t>
            </w:r>
          </w:p>
        </w:tc>
        <w:tc>
          <w:tcPr>
            <w:tcW w:w="4081" w:type="dxa"/>
            <w:tcBorders>
              <w:left w:val="single" w:sz="2" w:space="0" w:color="000000"/>
              <w:bottom w:val="single" w:sz="2" w:space="0" w:color="000000"/>
              <w:insideH w:val="single" w:sz="2" w:space="0" w:color="000000"/>
            </w:tcBorders>
            <w:shd w:fill="auto" w:val="clear"/>
            <w:tcMar>
              <w:left w:w="54" w:type="dxa"/>
            </w:tcMar>
          </w:tcPr>
          <w:p>
            <w:pPr>
              <w:pStyle w:val="Contenudetableau"/>
              <w:rPr/>
            </w:pPr>
            <w:r>
              <w:rPr/>
              <w:t xml:space="preserve">Deux à quatre, selon </w:t>
            </w:r>
            <w:r>
              <w:rPr/>
              <w:t>l’</w:t>
            </w:r>
            <w:r>
              <w:rPr/>
              <w:t>usage.</w:t>
            </w:r>
          </w:p>
        </w:tc>
        <w:tc>
          <w:tcPr>
            <w:tcW w:w="4082"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udetableau"/>
              <w:rPr/>
            </w:pPr>
            <w:r>
              <w:rPr/>
              <w:t>Douze (à partager avec les sorties numériques)</w:t>
            </w:r>
          </w:p>
        </w:tc>
      </w:tr>
      <w:tr>
        <w:trPr/>
        <w:tc>
          <w:tcPr>
            <w:tcW w:w="1475"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b/>
                <w:b/>
                <w:bCs/>
              </w:rPr>
            </w:pPr>
            <w:r>
              <w:rPr>
                <w:b/>
                <w:bCs/>
              </w:rPr>
              <w:t>Sorties numériques</w:t>
            </w:r>
          </w:p>
        </w:tc>
        <w:tc>
          <w:tcPr>
            <w:tcW w:w="4081" w:type="dxa"/>
            <w:tcBorders>
              <w:left w:val="single" w:sz="2" w:space="0" w:color="000000"/>
              <w:bottom w:val="single" w:sz="2" w:space="0" w:color="000000"/>
              <w:insideH w:val="single" w:sz="2" w:space="0" w:color="000000"/>
            </w:tcBorders>
            <w:shd w:fill="auto" w:val="clear"/>
            <w:tcMar>
              <w:left w:w="54" w:type="dxa"/>
            </w:tcMar>
          </w:tcPr>
          <w:p>
            <w:pPr>
              <w:pStyle w:val="Contenudetableau"/>
              <w:rPr/>
            </w:pPr>
            <w:r>
              <w:rPr/>
              <w:t>Trois, dont une de puissance</w:t>
            </w:r>
          </w:p>
        </w:tc>
        <w:tc>
          <w:tcPr>
            <w:tcW w:w="4082"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udetableau"/>
              <w:rPr/>
            </w:pPr>
            <w:r>
              <w:rPr/>
              <w:t>Douze (à partager avec les entrées numériques)</w:t>
            </w:r>
          </w:p>
        </w:tc>
      </w:tr>
      <w:tr>
        <w:trPr/>
        <w:tc>
          <w:tcPr>
            <w:tcW w:w="1475"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b/>
                <w:b/>
                <w:bCs/>
              </w:rPr>
            </w:pPr>
            <w:r>
              <w:rPr>
                <w:b/>
                <w:bCs/>
              </w:rPr>
              <w:t>BUS I</w:t>
            </w:r>
            <w:r>
              <w:rPr>
                <w:b/>
                <w:bCs/>
                <w:vertAlign w:val="subscript"/>
              </w:rPr>
              <w:t>2</w:t>
            </w:r>
            <w:r>
              <w:rPr>
                <w:b/>
                <w:bCs/>
              </w:rPr>
              <w:t>C</w:t>
            </w:r>
          </w:p>
        </w:tc>
        <w:tc>
          <w:tcPr>
            <w:tcW w:w="4081" w:type="dxa"/>
            <w:tcBorders>
              <w:left w:val="single" w:sz="2" w:space="0" w:color="000000"/>
              <w:bottom w:val="single" w:sz="2" w:space="0" w:color="000000"/>
              <w:insideH w:val="single" w:sz="2" w:space="0" w:color="000000"/>
            </w:tcBorders>
            <w:shd w:fill="auto" w:val="clear"/>
            <w:tcMar>
              <w:left w:w="54" w:type="dxa"/>
            </w:tcMar>
          </w:tcPr>
          <w:p>
            <w:pPr>
              <w:pStyle w:val="Contenudetableau"/>
              <w:rPr/>
            </w:pPr>
            <w:r>
              <w:rPr/>
              <w:t>Pris en charge</w:t>
            </w:r>
          </w:p>
        </w:tc>
        <w:tc>
          <w:tcPr>
            <w:tcW w:w="4082"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udetableau"/>
              <w:rPr/>
            </w:pPr>
            <w:r>
              <w:rPr/>
              <w:t>Pris en charge</w:t>
            </w:r>
          </w:p>
        </w:tc>
      </w:tr>
      <w:tr>
        <w:trPr/>
        <w:tc>
          <w:tcPr>
            <w:tcW w:w="1475"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b/>
                <w:b/>
                <w:bCs/>
              </w:rPr>
            </w:pPr>
            <w:r>
              <w:rPr>
                <w:b/>
                <w:bCs/>
              </w:rPr>
              <w:t>Source de courant</w:t>
            </w:r>
          </w:p>
        </w:tc>
        <w:tc>
          <w:tcPr>
            <w:tcW w:w="4081" w:type="dxa"/>
            <w:tcBorders>
              <w:left w:val="single" w:sz="2" w:space="0" w:color="000000"/>
              <w:bottom w:val="single" w:sz="2" w:space="0" w:color="000000"/>
              <w:insideH w:val="single" w:sz="2" w:space="0" w:color="000000"/>
            </w:tcBorders>
            <w:shd w:fill="auto" w:val="clear"/>
            <w:tcMar>
              <w:left w:w="54" w:type="dxa"/>
            </w:tcMar>
          </w:tcPr>
          <w:p>
            <w:pPr>
              <w:pStyle w:val="Contenudetableau"/>
              <w:rPr/>
            </w:pPr>
            <w:r>
              <w:rPr/>
              <w:t>Une, stabilisée</w:t>
            </w:r>
          </w:p>
        </w:tc>
        <w:tc>
          <w:tcPr>
            <w:tcW w:w="4082"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udetableau"/>
              <w:rPr/>
            </w:pPr>
            <w:r>
              <w:rPr/>
              <w:t>À bricoler</w:t>
            </w:r>
          </w:p>
        </w:tc>
      </w:tr>
      <w:tr>
        <w:trPr/>
        <w:tc>
          <w:tcPr>
            <w:tcW w:w="1475"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b/>
                <w:b/>
                <w:bCs/>
              </w:rPr>
            </w:pPr>
            <w:r>
              <w:rPr>
                <w:b/>
                <w:bCs/>
              </w:rPr>
              <w:t>Entrée microphone</w:t>
            </w:r>
          </w:p>
        </w:tc>
        <w:tc>
          <w:tcPr>
            <w:tcW w:w="4081" w:type="dxa"/>
            <w:tcBorders>
              <w:left w:val="single" w:sz="2" w:space="0" w:color="000000"/>
              <w:bottom w:val="single" w:sz="2" w:space="0" w:color="000000"/>
              <w:insideH w:val="single" w:sz="2" w:space="0" w:color="000000"/>
            </w:tcBorders>
            <w:shd w:fill="auto" w:val="clear"/>
            <w:tcMar>
              <w:left w:w="54" w:type="dxa"/>
            </w:tcMar>
          </w:tcPr>
          <w:p>
            <w:pPr>
              <w:pStyle w:val="Contenudetableau"/>
              <w:rPr/>
            </w:pPr>
            <w:r>
              <w:rPr/>
              <w:t>Une entrée dédiée (microphone à électret)</w:t>
            </w:r>
          </w:p>
        </w:tc>
        <w:tc>
          <w:tcPr>
            <w:tcW w:w="4082"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udetableau"/>
              <w:rPr/>
            </w:pPr>
            <w:r>
              <w:rPr/>
              <w:t>À bricoler</w:t>
            </w:r>
          </w:p>
        </w:tc>
      </w:tr>
    </w:tbl>
    <w:p>
      <w:pPr>
        <w:pStyle w:val="Titre2"/>
        <w:numPr>
          <w:ilvl w:val="1"/>
          <w:numId w:val="1"/>
        </w:numPr>
        <w:rPr/>
      </w:pPr>
      <w:r>
        <w:rPr/>
        <w:t>À qui s’adresse Expeyes-17 ?</w:t>
      </w:r>
    </w:p>
    <w:p>
      <w:pPr>
        <w:pStyle w:val="Corpsdetexte"/>
        <w:rPr/>
      </w:pPr>
      <w:r>
        <w:rPr/>
        <w:t>Quand on ouvre un kit Expeyes-17, commercialisé actuellement à 4000 roupies</w:t>
      </w:r>
      <w:r>
        <w:rPr>
          <w:rStyle w:val="Ancredenotedefin"/>
        </w:rPr>
        <w:endnoteReference w:id="6"/>
      </w:r>
      <w:r>
        <w:rPr/>
        <w:t>, on trouve un livret de cinquante expériences scientifiques</w:t>
      </w:r>
      <w:r>
        <w:rPr>
          <w:rStyle w:val="Ancredenotedefin"/>
        </w:rPr>
        <w:endnoteReference w:id="7"/>
      </w:r>
      <w:r>
        <w:rPr/>
        <w:t>, réalisables avec les accessoires (bobines, résistance, condensateurs, aimants, LDR, CTN, moteur à courant continus, aimants permanents, diodes, DELs, phototransistor, buzzers, fils, pinces crocos).</w:t>
      </w:r>
    </w:p>
    <w:p>
      <w:pPr>
        <w:pStyle w:val="Corpsdetexte"/>
        <w:rPr/>
      </w:pPr>
      <w:r>
        <w:rPr/>
        <w:t xml:space="preserve">Expeyes-17 a été taillé sur mesures pour enseigner la physique à l’aide d’expériences réalisables, à des élèves débutants. </w:t>
      </w:r>
      <w:r>
        <w:rPr/>
        <w:t>La compréhension de tension, courant, loi d’Ohm n’est pas un prérequis. L’appareil peut être considéré comme un combiné oscilloscope à quatre vois, plus un générateur de signal basse fréquence, plus un fréquencemètre.</w:t>
      </w:r>
    </w:p>
    <w:p>
      <w:pPr>
        <w:pStyle w:val="Corpsdetexte"/>
        <w:rPr/>
      </w:pPr>
      <w:r>
        <w:rPr/>
        <w:t>Les projets avec Arduino supposent quelques bases de technologie, à moins de pratiquer juste des «  recettes de cuisine ». Par exemple, pour générer une onde sinusoïdale, il faut recopier un programme dédié et ajouter des composants pour filtrer les signal.</w:t>
      </w:r>
    </w:p>
    <w:p>
      <w:pPr>
        <w:pStyle w:val="Titre2"/>
        <w:numPr>
          <w:ilvl w:val="1"/>
          <w:numId w:val="1"/>
        </w:numPr>
        <w:rPr/>
      </w:pPr>
      <w:r>
        <w:rPr/>
        <w:t>Comment s’utilise Expeyes-</w:t>
      </w:r>
      <w:r>
        <w:rPr/>
        <w:t>17</w:t>
      </w:r>
    </w:p>
    <w:p>
      <w:pPr>
        <w:pStyle w:val="Corpsdetexte"/>
        <w:rPr/>
      </w:pPr>
      <w:r>
        <w:drawing>
          <wp:anchor behindDoc="0" distT="0" distB="0" distL="0" distR="107950" simplePos="0" locked="0" layoutInCell="1" allowOverlap="1" relativeHeight="3">
            <wp:simplePos x="0" y="0"/>
            <wp:positionH relativeFrom="column">
              <wp:posOffset>-10160</wp:posOffset>
            </wp:positionH>
            <wp:positionV relativeFrom="paragraph">
              <wp:posOffset>635</wp:posOffset>
            </wp:positionV>
            <wp:extent cx="3428365" cy="2378075"/>
            <wp:effectExtent l="0" t="0" r="0" b="0"/>
            <wp:wrapSquare wrapText="largest"/>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4"/>
                    <a:stretch>
                      <a:fillRect/>
                    </a:stretch>
                  </pic:blipFill>
                  <pic:spPr bwMode="auto">
                    <a:xfrm>
                      <a:off x="0" y="0"/>
                      <a:ext cx="3428365" cy="2378075"/>
                    </a:xfrm>
                    <a:prstGeom prst="rect">
                      <a:avLst/>
                    </a:prstGeom>
                  </pic:spPr>
                </pic:pic>
              </a:graphicData>
            </a:graphic>
          </wp:anchor>
        </w:drawing>
      </w:r>
      <w:r>
        <w:rPr/>
        <w:t xml:space="preserve">L’auteur travaille avec Ajith Kumar depuis l’année 2005, il est responsable de la maintenance du paquet </w:t>
      </w:r>
      <w:r>
        <w:rPr>
          <w:rFonts w:ascii="CMU Typewriter Text" w:hAnsi="CMU Typewriter Text"/>
        </w:rPr>
        <w:t>expeyes</w:t>
      </w:r>
      <w:r>
        <w:rPr>
          <w:rStyle w:val="Ancredenotedefin"/>
          <w:rFonts w:ascii="CMU Typewriter Text" w:hAnsi="CMU Typewriter Text"/>
        </w:rPr>
        <w:endnoteReference w:id="8"/>
      </w:r>
      <w:r>
        <w:rPr/>
        <w:t xml:space="preserve"> dans les distributions Debian et Ubuntu. La plupart des ordinateurs dans les établissements d’enseignement utilisent un système Windows. En cours de physique, on s’affranchit de plusieurs problèmes </w:t>
      </w:r>
      <w:r>
        <w:rPr/>
        <w:t xml:space="preserve">de ce système </w:t>
      </w:r>
      <w:r>
        <w:rPr/>
        <w:t xml:space="preserve">(lenteurs, </w:t>
      </w:r>
      <w:r>
        <w:rPr/>
        <w:t xml:space="preserve">virus et anti-virus, </w:t>
      </w:r>
      <w:r>
        <w:rPr/>
        <w:t>gaspillage de ressources machine), en démarrant l’ordinateur à l’aide d’un DVD-ROM ou d’une clé USB</w:t>
      </w:r>
      <w:r>
        <w:rPr>
          <w:rStyle w:val="Ancredenotedefin"/>
        </w:rPr>
        <w:endnoteReference w:id="9"/>
      </w:r>
      <w:r>
        <w:rPr/>
        <w:t>, qui fournit un bureau graphique complet, quelques dizaines d’applications pédagogiques de haut niveau, dont la suite logicielle Expeyes et de bons logiciels de traitement de données (tableurs, mais pas seulement). Actuellement, la distribution logicielle qui accompagne Expeyes est réactive et agréable à utiliser sur des ordinateurs de dix ans d’âge, et bien sûr aussi avec les ordinateurs récents. Voici comment on peut travailler :</w:t>
      </w:r>
    </w:p>
    <w:p>
      <w:pPr>
        <w:pStyle w:val="Corpsdetexte"/>
        <w:numPr>
          <w:ilvl w:val="0"/>
          <w:numId w:val="2"/>
        </w:numPr>
        <w:rPr/>
      </w:pPr>
      <w:r>
        <w:rPr/>
        <w:t>démarrage du DVD-ROM ou de la clé USB : une minute</w:t>
      </w:r>
    </w:p>
    <w:p>
      <w:pPr>
        <w:pStyle w:val="Corpsdetexte"/>
        <w:numPr>
          <w:ilvl w:val="0"/>
          <w:numId w:val="2"/>
        </w:numPr>
        <w:rPr/>
      </w:pPr>
      <w:r>
        <w:rPr/>
        <w:t>lancement de la suite logicielle Expeyes : dix secondes</w:t>
      </w:r>
    </w:p>
    <w:p>
      <w:pPr>
        <w:pStyle w:val="Corpsdetexte"/>
        <w:numPr>
          <w:ilvl w:val="0"/>
          <w:numId w:val="2"/>
        </w:numPr>
        <w:rPr/>
      </w:pPr>
      <w:r>
        <w:rPr/>
        <w:t>expériences</w:t>
      </w:r>
      <w:r>
        <w:rPr>
          <w:rStyle w:val="Ancredenotedefin"/>
        </w:rPr>
        <w:endnoteReference w:id="10"/>
      </w:r>
      <w:r>
        <w:rPr/>
        <w:t xml:space="preserve"> … traitement des données … rédaction de compte-rendu, enregistrement local (sur clé USB, sur disque), ou dans le réseau local (partage Windows, ou disque réseau – NAS, ou service dans le cloud).</w:t>
      </w:r>
    </w:p>
    <w:p>
      <w:pPr>
        <w:pStyle w:val="Corpsdetexte"/>
        <w:numPr>
          <w:ilvl w:val="0"/>
          <w:numId w:val="2"/>
        </w:numPr>
        <w:rPr/>
      </w:pPr>
      <w:r>
        <w:rPr/>
        <w:t>Fin de session : trente secondes. Dans le cas d’un démarrage par une clé USB, les données persistantes sont mises à jour avant l’extinction.</w:t>
      </w:r>
    </w:p>
    <w:p>
      <w:pPr>
        <w:pStyle w:val="Corpsdetexte"/>
        <w:spacing w:before="0" w:after="140"/>
        <w:rPr/>
      </w:pPr>
      <w:r>
        <w:rPr/>
        <w:t>L’autre grande utilisation est l’enseignement de la programmation : Expeyes-17 est entièrement piloté en langage Python3, et le manuel donne la façon de le programmer, avec des exemples.</w:t>
      </w:r>
    </w:p>
    <w:sectPr>
      <w:endnotePr>
        <w:numFmt w:val="lowerRoman"/>
      </w:endnotePr>
      <w:type w:val="nextPage"/>
      <w:pgSz w:w="11906" w:h="16838"/>
      <w:pgMar w:left="1134" w:right="1134" w:header="0" w:top="1134" w:footer="0" w:bottom="1134" w:gutter="0"/>
      <w:pgNumType w:fmt="decimal"/>
      <w:formProt w:val="false"/>
      <w:textDirection w:val="lrTb"/>
    </w:sectPr>
  </w:body>
</w:document>
</file>

<file path=word/endnotes.xml><?xml version="1.0" encoding="utf-8"?>
<w:end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endnote w:id="0" w:type="separator">
    <w:p>
      <w:r>
        <w:separator/>
      </w:r>
    </w:p>
  </w:endnote>
  <w:endnote w:id="1" w:type="continuationSeparator">
    <w:p>
      <w:r>
        <w:continuationSeparator/>
      </w:r>
    </w:p>
  </w:endnote>
  <w:endnote w:id="2">
    <w:p>
      <w:pPr>
        <w:pStyle w:val="Notedefin"/>
        <w:rPr/>
      </w:pPr>
      <w:hyperlink r:id="rId1">
        <w:r>
          <w:rPr>
            <w:rStyle w:val="LienInternet"/>
          </w:rPr>
          <w:endnoteRef/>
          <w:tab/>
          <w:t>http://www.iuac.res.in/</w:t>
        </w:r>
      </w:hyperlink>
      <w:r>
        <w:rPr/>
        <w:t xml:space="preserve"> : </w:t>
      </w:r>
      <w:r>
        <w:rPr/>
        <w:t>IUAC, Inter-University Accelerator Centre, New Delhi</w:t>
      </w:r>
    </w:p>
  </w:endnote>
  <w:endnote w:id="3">
    <w:p>
      <w:pPr>
        <w:pStyle w:val="Notedefin"/>
        <w:rPr/>
      </w:pPr>
      <w:hyperlink r:id="rId2">
        <w:r>
          <w:rPr>
            <w:rStyle w:val="LienInternet"/>
          </w:rPr>
          <w:endnoteRef/>
          <w:tab/>
          <w:t>https://expeyes.wordpress.com/phoenix/</w:t>
        </w:r>
      </w:hyperlink>
      <w:r>
        <w:rPr/>
        <w:t xml:space="preserve"> The Story of PHOENIX </w:t>
      </w:r>
      <w:r>
        <w:rPr/>
        <w:t>by Kishore A. (2008)</w:t>
      </w:r>
    </w:p>
  </w:endnote>
  <w:endnote w:id="4">
    <w:p>
      <w:pPr>
        <w:pStyle w:val="Notedefin"/>
        <w:rPr/>
      </w:pPr>
      <w:hyperlink r:id="rId3">
        <w:r>
          <w:rPr>
            <w:rStyle w:val="LienInternet"/>
          </w:rPr>
          <w:endnoteRef/>
          <w:tab/>
          <w:t>https://www.arduino.cc/</w:t>
        </w:r>
      </w:hyperlink>
      <w:r>
        <w:rPr/>
        <w:t xml:space="preserve"> </w:t>
      </w:r>
      <w:r>
        <w:rPr/>
        <w:t>Page d’accueil de l’organisation ARDUINO</w:t>
      </w:r>
    </w:p>
  </w:endnote>
  <w:endnote w:id="5">
    <w:p>
      <w:pPr>
        <w:pStyle w:val="Notedefin"/>
        <w:rPr/>
      </w:pPr>
      <w:hyperlink r:id="rId4">
        <w:r>
          <w:rPr>
            <w:rStyle w:val="LienInternet"/>
          </w:rPr>
          <w:endnoteRef/>
          <w:tab/>
          <w:t>http://expeyes.in/</w:t>
        </w:r>
      </w:hyperlink>
      <w:hyperlink r:id="rId5">
        <w:r>
          <w:rPr/>
          <w:t xml:space="preserve"> </w:t>
        </w:r>
      </w:hyperlink>
      <w:r>
        <w:rPr/>
        <w:t>Page d’accueil pour Expeyes</w:t>
      </w:r>
    </w:p>
  </w:endnote>
  <w:endnote w:id="6">
    <w:p>
      <w:pPr>
        <w:pStyle w:val="Notedefin"/>
        <w:rPr/>
      </w:pPr>
      <w:hyperlink r:id="rId6">
        <w:r>
          <w:rPr>
            <w:rStyle w:val="LienInternet"/>
          </w:rPr>
          <w:endnoteRef/>
          <w:tab/>
          <w:t>https://www.fabtolab.com/expeyes</w:t>
        </w:r>
      </w:hyperlink>
      <w:r>
        <w:rPr/>
        <w:t xml:space="preserve"> </w:t>
      </w:r>
      <w:r>
        <w:rPr/>
        <w:t>Un site de vente par correspondance, prix = 3985 roupies le 6 février 2018, soit 50 euros au cours du jour (sans port ni taxes)</w:t>
      </w:r>
    </w:p>
  </w:endnote>
  <w:endnote w:id="7">
    <w:p>
      <w:pPr>
        <w:pStyle w:val="Notedefin"/>
        <w:rPr/>
      </w:pPr>
      <w:r>
        <w:rPr/>
        <w:endnoteRef/>
        <w:tab/>
        <w:t xml:space="preserve">Le livret est actuellement disponible en anglais et en français, il est sous forme électronique dans le paquet logiciel </w:t>
      </w:r>
      <w:r>
        <w:rPr>
          <w:rFonts w:ascii="CMU Typewriter Text" w:hAnsi="CMU Typewriter Text"/>
        </w:rPr>
        <w:t>expeyes </w:t>
      </w:r>
      <w:r>
        <w:rPr/>
        <w:t xml:space="preserve">: </w:t>
      </w:r>
      <w:hyperlink r:id="rId7">
        <w:r>
          <w:rPr>
            <w:rStyle w:val="LienInternet"/>
          </w:rPr>
          <w:t>https://packages.debian.org/fr/buster/expeyes</w:t>
        </w:r>
      </w:hyperlink>
      <w:hyperlink r:id="rId8">
        <w:r>
          <w:rPr/>
          <w:t xml:space="preserve"> </w:t>
        </w:r>
      </w:hyperlink>
    </w:p>
  </w:endnote>
  <w:endnote w:id="8">
    <w:p>
      <w:pPr>
        <w:pStyle w:val="Notedefin"/>
        <w:rPr/>
      </w:pPr>
      <w:r>
        <w:fldChar w:fldCharType="begin"/>
      </w:r>
      <w:r>
        <w:instrText> HYPERLINK "https://qa.debian.org/developer.php?login=georgesk@debian.org" \l "expeyes"</w:instrText>
      </w:r>
      <w:r>
        <w:fldChar w:fldCharType="separate"/>
      </w:r>
      <w:r>
        <w:rPr>
          <w:rStyle w:val="LienInternet"/>
        </w:rPr>
        <w:endnoteRef/>
        <w:tab/>
        <w:t>https://qa.debian.org/developer.php?login=georgesk@debian.org#expeyes</w:t>
      </w:r>
      <w:r>
        <w:fldChar w:fldCharType="end"/>
      </w:r>
      <w:hyperlink r:id="rId9">
        <w:r>
          <w:rPr/>
          <w:t xml:space="preserve"> </w:t>
        </w:r>
      </w:hyperlink>
      <w:r>
        <w:rPr/>
        <w:t xml:space="preserve">page de contrôle-qualité pour les paquets logiciels maintenus par l’auteur : le logiciel </w:t>
      </w:r>
      <w:r>
        <w:rPr>
          <w:rFonts w:ascii="CMU Typewriter Text" w:hAnsi="CMU Typewriter Text"/>
        </w:rPr>
        <w:t>expeyes</w:t>
      </w:r>
      <w:r>
        <w:rPr/>
        <w:t xml:space="preserve"> est fonctionnel et tous les rapports de bug à ce jour ont été résolus.</w:t>
      </w:r>
    </w:p>
  </w:endnote>
  <w:endnote w:id="9">
    <w:p>
      <w:pPr>
        <w:pStyle w:val="Notedefin"/>
        <w:rPr/>
      </w:pPr>
      <w:hyperlink r:id="rId10">
        <w:r>
          <w:rPr>
            <w:rStyle w:val="LienInternet"/>
          </w:rPr>
          <w:endnoteRef/>
          <w:tab/>
          <w:t>https://usb.freeduc.org/fr/freeduc-jbart.php</w:t>
        </w:r>
      </w:hyperlink>
      <w:r>
        <w:rPr/>
        <w:t xml:space="preserve"> </w:t>
      </w:r>
      <w:r>
        <w:rPr/>
        <w:t>Vous pouvez vous procurer la clé USB développée dans le lycée de l’auteur, par simple téléchargement (il faut une bonne connexion ADSL). Même en l’absence de matériel Expeyes, elle résout de nombreux problèmes d’intérêt pédagogique.</w:t>
      </w:r>
    </w:p>
  </w:endnote>
  <w:endnote w:id="10">
    <w:p>
      <w:pPr>
        <w:pStyle w:val="Notedefin"/>
        <w:rPr/>
      </w:pPr>
      <w:r>
        <w:rPr/>
        <w:endnoteRef/>
        <w:tab/>
        <w:t>Quand la suite logicielle d’</w:t>
      </w:r>
      <w:r>
        <w:rPr>
          <w:rFonts w:ascii="CMU Typewriter Text" w:hAnsi="CMU Typewriter Text"/>
        </w:rPr>
        <w:t>expeyes</w:t>
      </w:r>
      <w:r>
        <w:rPr/>
        <w:t xml:space="preserve"> est en fonction, les cinquante expériences sont chacune accessible par un choix dans les menus, et la partie correspondante du manuel est affichée. Dans le cas où un logiciel spécialisé est nécessaire, celui-ci est lancé à la volée.</w:t>
      </w:r>
    </w:p>
  </w:endnote>
</w:endnote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swiss"/>
    <w:pitch w:val="variable"/>
  </w:font>
  <w:font w:name="CMU Typewriter Text">
    <w:charset w:val="01"/>
    <w:family w:val="moder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re1"/>
      <w:numFmt w:val="none"/>
      <w:suff w:val="nothing"/>
      <w:lvlText w:val=""/>
      <w:lvlJc w:val="left"/>
      <w:pPr>
        <w:ind w:left="0" w:hanging="0"/>
      </w:pPr>
    </w:lvl>
    <w:lvl w:ilvl="1">
      <w:start w:val="1"/>
      <w:pStyle w:val="Titre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bering>
</file>

<file path=word/settings.xml><?xml version="1.0" encoding="utf-8"?>
<w:settings xmlns:w="http://schemas.openxmlformats.org/wordprocessingml/2006/main">
  <w:zoom w:percent="120"/>
  <w:defaultTabStop w:val="709"/>
  <w:endnotePr>
    <w:numFmt w:val="lowerRoman"/>
    <w:endnote w:id="0"/>
    <w:endnote w:id="1"/>
  </w:end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AR PL SungtiL GB" w:cs="FreeSans"/>
        <w:kern w:val="2"/>
        <w:sz w:val="24"/>
        <w:szCs w:val="24"/>
        <w:lang w:val="fr-FR" w:eastAsia="zh-CN" w:bidi="hi-IN"/>
      </w:rPr>
    </w:rPrDefault>
    <w:pPrDefault>
      <w:pPr>
        <w:widowControl/>
      </w:pPr>
    </w:pPrDefault>
  </w:docDefaults>
  <w:style w:type="paragraph" w:styleId="Normal">
    <w:name w:val="Normal"/>
    <w:qFormat/>
    <w:pPr>
      <w:widowControl/>
      <w:bidi w:val="0"/>
    </w:pPr>
    <w:rPr>
      <w:rFonts w:ascii="Times New Roman" w:hAnsi="Times New Roman" w:eastAsia="AR PL SungtiL GB" w:cs="FreeSans"/>
      <w:color w:val="auto"/>
      <w:kern w:val="2"/>
      <w:sz w:val="24"/>
      <w:szCs w:val="24"/>
      <w:lang w:val="fr-FR" w:eastAsia="zh-CN" w:bidi="hi-IN"/>
    </w:rPr>
  </w:style>
  <w:style w:type="paragraph" w:styleId="Titre1">
    <w:name w:val="Heading 1"/>
    <w:basedOn w:val="Titre"/>
    <w:next w:val="Corpsdetexte"/>
    <w:qFormat/>
    <w:pPr>
      <w:numPr>
        <w:ilvl w:val="0"/>
        <w:numId w:val="1"/>
      </w:numPr>
      <w:spacing w:before="240" w:after="120"/>
      <w:outlineLvl w:val="0"/>
    </w:pPr>
    <w:rPr>
      <w:b/>
      <w:bCs/>
      <w:sz w:val="36"/>
      <w:szCs w:val="36"/>
    </w:rPr>
  </w:style>
  <w:style w:type="paragraph" w:styleId="Titre2">
    <w:name w:val="Heading 2"/>
    <w:basedOn w:val="Titre"/>
    <w:next w:val="Corpsdetexte"/>
    <w:qFormat/>
    <w:pPr>
      <w:numPr>
        <w:ilvl w:val="1"/>
        <w:numId w:val="1"/>
      </w:numPr>
      <w:spacing w:before="200" w:after="120"/>
      <w:outlineLvl w:val="1"/>
    </w:pPr>
    <w:rPr>
      <w:b/>
      <w:bCs/>
      <w:sz w:val="32"/>
      <w:szCs w:val="32"/>
    </w:rPr>
  </w:style>
  <w:style w:type="character" w:styleId="LienInternet">
    <w:name w:val="Lien Internet"/>
    <w:rPr>
      <w:color w:val="000080"/>
      <w:u w:val="single"/>
      <w:lang w:val="zxx" w:eastAsia="zxx" w:bidi="zxx"/>
    </w:rPr>
  </w:style>
  <w:style w:type="character" w:styleId="Caractresdenumrotation">
    <w:name w:val="Caractères de numérotation"/>
    <w:qFormat/>
    <w:rPr/>
  </w:style>
  <w:style w:type="character" w:styleId="Caractresdenotedefin">
    <w:name w:val="Caractères de note de fin"/>
    <w:qFormat/>
    <w:rPr/>
  </w:style>
  <w:style w:type="character" w:styleId="Ancredenotedefin">
    <w:name w:val="Ancre de note de fin"/>
    <w:rPr>
      <w:vertAlign w:val="superscript"/>
    </w:rPr>
  </w:style>
  <w:style w:type="character" w:styleId="Ancredenotedebasdepage">
    <w:name w:val="Ancre de note de bas de page"/>
    <w:rPr>
      <w:vertAlign w:val="superscript"/>
    </w:rPr>
  </w:style>
  <w:style w:type="character" w:styleId="Caractresdenotedebasdepage">
    <w:name w:val="Caractères de note de bas de page"/>
    <w:qFormat/>
    <w:rPr/>
  </w:style>
  <w:style w:type="paragraph" w:styleId="Titre">
    <w:name w:val="Titre"/>
    <w:basedOn w:val="Normal"/>
    <w:next w:val="Corpsdetexte"/>
    <w:qFormat/>
    <w:pPr>
      <w:keepNext w:val="true"/>
      <w:spacing w:before="240" w:after="120"/>
    </w:pPr>
    <w:rPr>
      <w:rFonts w:ascii="Liberation Sans" w:hAnsi="Liberation Sans" w:eastAsia="AR PL SungtiL GB" w:cs="FreeSans"/>
      <w:sz w:val="28"/>
      <w:szCs w:val="28"/>
    </w:rPr>
  </w:style>
  <w:style w:type="paragraph" w:styleId="Corpsdetexte">
    <w:name w:val="Body Text"/>
    <w:basedOn w:val="Normal"/>
    <w:pPr>
      <w:spacing w:lineRule="auto" w:line="288" w:before="0" w:after="140"/>
    </w:pPr>
    <w:rPr/>
  </w:style>
  <w:style w:type="paragraph" w:styleId="Liste">
    <w:name w:val="List"/>
    <w:basedOn w:val="Corpsdetexte"/>
    <w:pPr/>
    <w:rPr>
      <w:rFonts w:cs="FreeSans"/>
    </w:rPr>
  </w:style>
  <w:style w:type="paragraph" w:styleId="Lgende">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Contenudetableau">
    <w:name w:val="Contenu de tableau"/>
    <w:basedOn w:val="Normal"/>
    <w:qFormat/>
    <w:pPr>
      <w:suppressLineNumbers/>
    </w:pPr>
    <w:rPr/>
  </w:style>
  <w:style w:type="paragraph" w:styleId="Titredetableau">
    <w:name w:val="Titre de tableau"/>
    <w:basedOn w:val="Contenudetableau"/>
    <w:qFormat/>
    <w:pPr>
      <w:suppressLineNumbers/>
      <w:jc w:val="center"/>
    </w:pPr>
    <w:rPr>
      <w:b/>
      <w:bCs/>
    </w:rPr>
  </w:style>
  <w:style w:type="paragraph" w:styleId="Notedefin">
    <w:name w:val="Endnote Text"/>
    <w:basedOn w:val="Normal"/>
    <w:pPr>
      <w:suppressLineNumbers/>
      <w:ind w:left="339" w:hanging="339"/>
    </w:pPr>
    <w:rPr>
      <w:sz w:val="20"/>
      <w:szCs w:val="20"/>
    </w:rPr>
  </w:style>
  <w:style w:type="paragraph" w:styleId="Notedebasdepage">
    <w:name w:val="Footnote Text"/>
    <w:basedOn w:val="Normal"/>
    <w:pPr>
      <w:suppressLineNumbers/>
      <w:ind w:left="339" w:hanging="339"/>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georges.khaznadar@ac-lille.fr" TargetMode="External"/><Relationship Id="rId3" Type="http://schemas.openxmlformats.org/officeDocument/2006/relationships/image" Target="media/image1.png"/><Relationship Id="rId4" Type="http://schemas.openxmlformats.org/officeDocument/2006/relationships/image" Target="media/image2.png"/><Relationship Id="rId5" Type="http://schemas.openxmlformats.org/officeDocument/2006/relationships/endnotes" Target="end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endnotes.xml.rels><?xml version="1.0" encoding="UTF-8"?>
<Relationships xmlns="http://schemas.openxmlformats.org/package/2006/relationships"><Relationship Id="rId1" Type="http://schemas.openxmlformats.org/officeDocument/2006/relationships/hyperlink" Target="http://www.iuac.res.in/" TargetMode="External"/><Relationship Id="rId2" Type="http://schemas.openxmlformats.org/officeDocument/2006/relationships/hyperlink" Target="https://expeyes.wordpress.com/phoenix/" TargetMode="External"/><Relationship Id="rId3" Type="http://schemas.openxmlformats.org/officeDocument/2006/relationships/hyperlink" Target="https://www.arduino.cc/" TargetMode="External"/><Relationship Id="rId4" Type="http://schemas.openxmlformats.org/officeDocument/2006/relationships/hyperlink" Target="http://expeyes.in/" TargetMode="External"/><Relationship Id="rId5" Type="http://schemas.openxmlformats.org/officeDocument/2006/relationships/hyperlink" Target="" TargetMode="External"/><Relationship Id="rId6" Type="http://schemas.openxmlformats.org/officeDocument/2006/relationships/hyperlink" Target="https://www.fabtolab.com/expeyes" TargetMode="External"/><Relationship Id="rId7" Type="http://schemas.openxmlformats.org/officeDocument/2006/relationships/hyperlink" Target="https://packages.debian.org/fr/buster/expeyes" TargetMode="External"/><Relationship Id="rId8" Type="http://schemas.openxmlformats.org/officeDocument/2006/relationships/hyperlink" Target="" TargetMode="External"/><Relationship Id="rId9" Type="http://schemas.openxmlformats.org/officeDocument/2006/relationships/hyperlink" Target="" TargetMode="External"/><Relationship Id="rId10" Type="http://schemas.openxmlformats.org/officeDocument/2006/relationships/hyperlink" Target="https://usb.freeduc.org/fr/freeduc-jbart.php" TargetMode="External"/>
</Relationships>
</file>

<file path=docProps/app.xml><?xml version="1.0" encoding="utf-8"?>
<Properties xmlns="http://schemas.openxmlformats.org/officeDocument/2006/extended-properties" xmlns:vt="http://schemas.openxmlformats.org/officeDocument/2006/docPropsVTypes">
  <Template/>
  <TotalTime>29</TotalTime>
  <Application>LibreOffice/5.4.4.2$Linux_X86_64 LibreOffice_project/40m0$Build-2</Application>
  <Pages>3</Pages>
  <Words>926</Words>
  <Characters>5414</Characters>
  <CharactersWithSpaces>6286</CharactersWithSpaces>
  <Paragraphs>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2018-02-06T17:01:59Z</dcterms:created>
  <dc:creator/>
  <dc:description/>
  <dc:language>fr-FR</dc:language>
  <cp:lastModifiedBy/>
  <dcterms:modified xsi:type="dcterms:W3CDTF">2018-02-06T19:06:30Z</dcterms:modified>
  <cp:revision>4</cp:revision>
  <dc:subject/>
  <dc:title/>
</cp:coreProperties>
</file>